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EAE" w:rsidRDefault="005D4C9C" w:rsidP="005D4C9C">
      <w:pPr>
        <w:pStyle w:val="Heading1"/>
        <w:numPr>
          <w:ilvl w:val="0"/>
          <w:numId w:val="0"/>
        </w:numPr>
        <w:ind w:left="993" w:right="160"/>
      </w:pPr>
      <w:bookmarkStart w:id="0" w:name="_Toc13991"/>
      <w:bookmarkStart w:id="1" w:name="_GoBack"/>
      <w:bookmarkEnd w:id="1"/>
      <w:r>
        <w:rPr>
          <w:sz w:val="28"/>
        </w:rPr>
        <w:t>Annex B</w:t>
      </w:r>
      <w:r>
        <w:t xml:space="preserve"> Template for Agreement with Recognized Stakeholders </w:t>
      </w:r>
      <w:bookmarkEnd w:id="0"/>
    </w:p>
    <w:p w:rsidR="00205EAE" w:rsidRDefault="005D4C9C">
      <w:pPr>
        <w:spacing w:after="0" w:line="259" w:lineRule="auto"/>
        <w:ind w:left="0" w:right="0" w:firstLine="0"/>
        <w:jc w:val="left"/>
      </w:pPr>
      <w:r>
        <w:rPr>
          <w:rFonts w:ascii="Times New Roman" w:eastAsia="Times New Roman" w:hAnsi="Times New Roman" w:cs="Times New Roman"/>
          <w:sz w:val="24"/>
        </w:rPr>
        <w:t xml:space="preserve"> </w:t>
      </w:r>
    </w:p>
    <w:p w:rsidR="00205EAE" w:rsidRDefault="005D4C9C">
      <w:pPr>
        <w:spacing w:after="178" w:line="259" w:lineRule="auto"/>
        <w:ind w:left="0" w:right="0" w:firstLine="0"/>
        <w:jc w:val="left"/>
      </w:pPr>
      <w:r>
        <w:rPr>
          <w:rFonts w:ascii="Times New Roman" w:eastAsia="Times New Roman" w:hAnsi="Times New Roman" w:cs="Times New Roman"/>
          <w:sz w:val="24"/>
        </w:rPr>
        <w:t xml:space="preserve"> </w:t>
      </w:r>
    </w:p>
    <w:p w:rsidR="00205EAE" w:rsidRDefault="005D4C9C" w:rsidP="005240E4">
      <w:pPr>
        <w:tabs>
          <w:tab w:val="center" w:pos="2124"/>
          <w:tab w:val="center" w:pos="2833"/>
          <w:tab w:val="center" w:pos="3541"/>
          <w:tab w:val="center" w:pos="4249"/>
          <w:tab w:val="center" w:pos="4957"/>
          <w:tab w:val="center" w:pos="6699"/>
        </w:tabs>
        <w:spacing w:after="0" w:line="259" w:lineRule="auto"/>
        <w:ind w:left="0" w:right="0" w:firstLine="0"/>
        <w:jc w:val="left"/>
      </w:pPr>
      <w:r>
        <w:rPr>
          <w:noProof/>
        </w:rPr>
        <w:drawing>
          <wp:inline distT="0" distB="0" distL="0" distR="0">
            <wp:extent cx="894715" cy="693420"/>
            <wp:effectExtent l="0" t="0" r="0" b="0"/>
            <wp:docPr id="1108" name="Picture 1108"/>
            <wp:cNvGraphicFramePr/>
            <a:graphic xmlns:a="http://schemas.openxmlformats.org/drawingml/2006/main">
              <a:graphicData uri="http://schemas.openxmlformats.org/drawingml/2006/picture">
                <pic:pic xmlns:pic="http://schemas.openxmlformats.org/drawingml/2006/picture">
                  <pic:nvPicPr>
                    <pic:cNvPr id="1108" name="Picture 1108"/>
                    <pic:cNvPicPr/>
                  </pic:nvPicPr>
                  <pic:blipFill>
                    <a:blip r:embed="rId7"/>
                    <a:stretch>
                      <a:fillRect/>
                    </a:stretch>
                  </pic:blipFill>
                  <pic:spPr>
                    <a:xfrm>
                      <a:off x="0" y="0"/>
                      <a:ext cx="894715" cy="693420"/>
                    </a:xfrm>
                    <a:prstGeom prst="rect">
                      <a:avLst/>
                    </a:prstGeom>
                  </pic:spPr>
                </pic:pic>
              </a:graphicData>
            </a:graphic>
          </wp:inline>
        </w:drawing>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37"/>
          <w:vertAlign w:val="subscript"/>
        </w:rPr>
        <w:t xml:space="preserve"> </w:t>
      </w:r>
      <w:r>
        <w:rPr>
          <w:rFonts w:ascii="Times New Roman" w:eastAsia="Times New Roman" w:hAnsi="Times New Roman" w:cs="Times New Roman"/>
          <w:sz w:val="37"/>
          <w:vertAlign w:val="subscript"/>
        </w:rPr>
        <w:tab/>
        <w:t xml:space="preserve"> </w:t>
      </w:r>
      <w:r>
        <w:rPr>
          <w:rFonts w:ascii="Times New Roman" w:eastAsia="Times New Roman" w:hAnsi="Times New Roman" w:cs="Times New Roman"/>
          <w:sz w:val="37"/>
          <w:vertAlign w:val="subscript"/>
        </w:rPr>
        <w:tab/>
        <w:t xml:space="preserve"> </w:t>
      </w:r>
      <w:r>
        <w:rPr>
          <w:rFonts w:ascii="Times New Roman" w:eastAsia="Times New Roman" w:hAnsi="Times New Roman" w:cs="Times New Roman"/>
          <w:sz w:val="37"/>
          <w:vertAlign w:val="subscript"/>
        </w:rPr>
        <w:tab/>
        <w:t xml:space="preserve"> </w:t>
      </w:r>
      <w:r>
        <w:rPr>
          <w:rFonts w:ascii="Times New Roman" w:eastAsia="Times New Roman" w:hAnsi="Times New Roman" w:cs="Times New Roman"/>
          <w:sz w:val="37"/>
          <w:vertAlign w:val="subscript"/>
        </w:rPr>
        <w:tab/>
        <w:t xml:space="preserve"> </w:t>
      </w:r>
      <w:r>
        <w:rPr>
          <w:rFonts w:ascii="Times New Roman" w:eastAsia="Times New Roman" w:hAnsi="Times New Roman" w:cs="Times New Roman"/>
          <w:sz w:val="37"/>
          <w:vertAlign w:val="subscript"/>
        </w:rPr>
        <w:tab/>
      </w:r>
      <w:r>
        <w:rPr>
          <w:rFonts w:ascii="Times New Roman" w:eastAsia="Times New Roman" w:hAnsi="Times New Roman" w:cs="Times New Roman"/>
          <w:sz w:val="48"/>
        </w:rPr>
        <w:t xml:space="preserve"> </w:t>
      </w:r>
      <w:r>
        <w:rPr>
          <w:rFonts w:ascii="Times New Roman" w:eastAsia="Times New Roman" w:hAnsi="Times New Roman" w:cs="Times New Roman"/>
          <w:b/>
          <w:i/>
          <w:sz w:val="48"/>
        </w:rPr>
        <w:t xml:space="preserve"> </w:t>
      </w:r>
      <w:r w:rsidR="005240E4">
        <w:rPr>
          <w:noProof/>
        </w:rPr>
        <w:drawing>
          <wp:inline distT="0" distB="0" distL="0" distR="0" wp14:anchorId="1A2B809E" wp14:editId="11F1E3CD">
            <wp:extent cx="672932" cy="957532"/>
            <wp:effectExtent l="0" t="0" r="0" b="0"/>
            <wp:docPr id="1" name="Picture 1" descr="S:\BRC TRADING LIMITED\BRC Trading Corporate Identity\Global Standards logos\BRCGSSolid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RC TRADING LIMITED\BRC Trading Corporate Identity\Global Standards logos\BRCGSSolidBl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2932" cy="957532"/>
                    </a:xfrm>
                    <a:prstGeom prst="rect">
                      <a:avLst/>
                    </a:prstGeom>
                    <a:noFill/>
                    <a:ln>
                      <a:noFill/>
                    </a:ln>
                  </pic:spPr>
                </pic:pic>
              </a:graphicData>
            </a:graphic>
          </wp:inline>
        </w:drawing>
      </w:r>
    </w:p>
    <w:p w:rsidR="00205EAE" w:rsidRDefault="005D4C9C">
      <w:pPr>
        <w:spacing w:after="0" w:line="259" w:lineRule="auto"/>
        <w:ind w:left="0" w:right="0" w:firstLine="0"/>
        <w:jc w:val="left"/>
      </w:pPr>
      <w:r>
        <w:t xml:space="preserve"> </w:t>
      </w:r>
    </w:p>
    <w:p w:rsidR="00205EAE" w:rsidRDefault="005D4C9C">
      <w:pPr>
        <w:spacing w:after="4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205EAE" w:rsidRDefault="005D4C9C">
      <w:pPr>
        <w:spacing w:after="0" w:line="259" w:lineRule="auto"/>
        <w:ind w:left="6" w:right="0" w:firstLine="0"/>
        <w:jc w:val="center"/>
      </w:pPr>
      <w:r>
        <w:rPr>
          <w:b/>
          <w:sz w:val="28"/>
          <w:u w:val="single" w:color="000000"/>
        </w:rPr>
        <w:t>Recognised Stakeholder Agreement</w:t>
      </w:r>
      <w:r>
        <w:rPr>
          <w:b/>
          <w:sz w:val="28"/>
        </w:rPr>
        <w:t xml:space="preserve"> </w:t>
      </w:r>
    </w:p>
    <w:p w:rsidR="00205EAE" w:rsidRDefault="005D4C9C">
      <w:pPr>
        <w:spacing w:after="0" w:line="259" w:lineRule="auto"/>
        <w:ind w:left="72" w:right="0" w:firstLine="0"/>
        <w:jc w:val="center"/>
      </w:pPr>
      <w:r>
        <w:t xml:space="preserve"> </w:t>
      </w:r>
    </w:p>
    <w:p w:rsidR="00205EAE" w:rsidRDefault="005D4C9C">
      <w:pPr>
        <w:spacing w:after="0" w:line="259" w:lineRule="auto"/>
        <w:ind w:left="21" w:right="4"/>
        <w:jc w:val="center"/>
      </w:pPr>
      <w:r>
        <w:t xml:space="preserve">between </w:t>
      </w:r>
    </w:p>
    <w:p w:rsidR="00205EAE" w:rsidRDefault="005D4C9C">
      <w:pPr>
        <w:spacing w:after="0" w:line="259" w:lineRule="auto"/>
        <w:ind w:left="18" w:right="2"/>
        <w:jc w:val="center"/>
      </w:pPr>
      <w:r>
        <w:rPr>
          <w:b/>
        </w:rPr>
        <w:t>The European co-</w:t>
      </w:r>
      <w:r>
        <w:rPr>
          <w:b/>
        </w:rPr>
        <w:t xml:space="preserve">operation for Accreditation (EA) </w:t>
      </w:r>
    </w:p>
    <w:p w:rsidR="00205EAE" w:rsidRDefault="005D4C9C">
      <w:pPr>
        <w:spacing w:after="0" w:line="259" w:lineRule="auto"/>
        <w:ind w:left="72" w:right="0" w:firstLine="0"/>
        <w:jc w:val="center"/>
      </w:pPr>
      <w:r>
        <w:t xml:space="preserve"> </w:t>
      </w:r>
    </w:p>
    <w:p w:rsidR="00205EAE" w:rsidRDefault="005D4C9C">
      <w:pPr>
        <w:spacing w:after="0" w:line="259" w:lineRule="auto"/>
        <w:ind w:left="21" w:right="2"/>
        <w:jc w:val="center"/>
      </w:pPr>
      <w:r>
        <w:t xml:space="preserve">and </w:t>
      </w:r>
    </w:p>
    <w:p w:rsidR="00205EAE" w:rsidRDefault="005240E4">
      <w:pPr>
        <w:spacing w:after="0" w:line="259" w:lineRule="auto"/>
        <w:ind w:left="18" w:right="0"/>
        <w:jc w:val="center"/>
      </w:pPr>
      <w:r>
        <w:rPr>
          <w:b/>
        </w:rPr>
        <w:t>BRC Global Standards</w:t>
      </w:r>
      <w:r w:rsidR="005D4C9C">
        <w:rPr>
          <w:b/>
        </w:rPr>
        <w:t xml:space="preserve"> (the Stakeholder)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1" w:line="241" w:lineRule="auto"/>
        <w:ind w:left="-15" w:right="0" w:firstLine="0"/>
        <w:jc w:val="left"/>
      </w:pPr>
      <w:r>
        <w:rPr>
          <w:b/>
        </w:rPr>
        <w:t>EA the “European co-operation for Accreditation”</w:t>
      </w:r>
      <w:r>
        <w:t xml:space="preserve"> – which is the Association of nationally recognised Accreditation Bodies of the Member States of the European Union (EU) and of t</w:t>
      </w:r>
      <w:r>
        <w:t>he European Free Trade Association (EFTA) and of countries that have been formally identified as candidates for membership of EU and EFTA – whose mission is to provide, through its members, effective and reliable accreditation services fulfilling at best t</w:t>
      </w:r>
      <w:r>
        <w:t xml:space="preserve">he needs of the European economy and society </w:t>
      </w:r>
    </w:p>
    <w:p w:rsidR="00205EAE" w:rsidRDefault="005D4C9C">
      <w:pPr>
        <w:spacing w:after="0" w:line="259" w:lineRule="auto"/>
        <w:ind w:left="0" w:right="0" w:firstLine="0"/>
        <w:jc w:val="left"/>
      </w:pPr>
      <w:r>
        <w:t xml:space="preserve"> </w:t>
      </w:r>
    </w:p>
    <w:p w:rsidR="00205EAE" w:rsidRDefault="005D4C9C">
      <w:pPr>
        <w:ind w:left="10" w:right="700"/>
      </w:pPr>
      <w:r>
        <w:t xml:space="preserve">and </w:t>
      </w:r>
    </w:p>
    <w:p w:rsidR="00205EAE" w:rsidRDefault="005D4C9C">
      <w:pPr>
        <w:spacing w:after="13" w:line="259" w:lineRule="auto"/>
        <w:ind w:left="0" w:right="0" w:firstLine="0"/>
        <w:jc w:val="left"/>
      </w:pPr>
      <w:r>
        <w:t xml:space="preserve"> </w:t>
      </w:r>
    </w:p>
    <w:p w:rsidR="00205EAE" w:rsidRDefault="005D4C9C">
      <w:pPr>
        <w:ind w:left="10" w:right="0"/>
      </w:pPr>
      <w:r>
        <w:rPr>
          <w:b/>
        </w:rPr>
        <w:t>The Stakeholder “</w:t>
      </w:r>
      <w:r w:rsidR="005240E4">
        <w:rPr>
          <w:b/>
        </w:rPr>
        <w:t>BRC Global Standards</w:t>
      </w:r>
      <w:r>
        <w:rPr>
          <w:b/>
        </w:rPr>
        <w:t>”</w:t>
      </w:r>
      <w:r>
        <w:t xml:space="preserve"> – which is </w:t>
      </w:r>
      <w:r w:rsidR="005240E4">
        <w:t>a globally recognised</w:t>
      </w:r>
      <w:r w:rsidR="005240E4">
        <w:t xml:space="preserve"> leading brand and consumer protection organisation</w:t>
      </w:r>
      <w:r w:rsidR="005240E4">
        <w:t xml:space="preserve"> which has developed and owns a suite of certification standards </w:t>
      </w:r>
      <w:r>
        <w:t>–</w:t>
      </w:r>
      <w:r>
        <w:t xml:space="preserve"> </w:t>
      </w:r>
      <w:r>
        <w:t>w</w:t>
      </w:r>
      <w:r>
        <w:t>h</w:t>
      </w:r>
      <w:r>
        <w:t xml:space="preserve">ose mission is to </w:t>
      </w:r>
      <w:r w:rsidR="005240E4">
        <w:t>guarantee the standardisation of quality, safety and operational criteria and ensure that manufacturers fulfil their legal obligations and provide protection for the end consumer.</w:t>
      </w:r>
      <w:r w:rsidR="00522F89">
        <w:t xml:space="preserve"> </w:t>
      </w:r>
      <w:r w:rsidR="00522F89">
        <w:t>The</w:t>
      </w:r>
      <w:r w:rsidR="00522F89">
        <w:t xml:space="preserve"> Standards</w:t>
      </w:r>
      <w:r w:rsidR="00522F89">
        <w:t xml:space="preserve"> are used by over 27,000 suppliers in over 130 countries, with certification issued through a global network of accredited certification bodies. </w:t>
      </w: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21" w:right="2"/>
        <w:jc w:val="center"/>
      </w:pPr>
      <w:r>
        <w:t xml:space="preserve">hereinafter referred to as the Parties, </w:t>
      </w:r>
    </w:p>
    <w:p w:rsidR="00205EAE" w:rsidRDefault="005D4C9C">
      <w:pPr>
        <w:spacing w:after="0" w:line="259" w:lineRule="auto"/>
        <w:ind w:left="72" w:right="0" w:firstLine="0"/>
        <w:jc w:val="center"/>
      </w:pPr>
      <w:r>
        <w:t xml:space="preserve"> </w:t>
      </w:r>
    </w:p>
    <w:p w:rsidR="00205EAE" w:rsidRDefault="005D4C9C">
      <w:pPr>
        <w:spacing w:after="0" w:line="259" w:lineRule="auto"/>
        <w:ind w:left="21" w:right="2"/>
        <w:jc w:val="center"/>
      </w:pPr>
      <w:r>
        <w:t xml:space="preserve">recognizing that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 xml:space="preserve">EA applies, for </w:t>
      </w:r>
      <w:r>
        <w:t xml:space="preserve">accreditation, the pertinent standards and guides, duly supported by EA applicative documents, to further the effective and harmonized operation of accreditation by its member Accreditation Bodies.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 xml:space="preserve">EA ensures that such Accreditation Bodies are properly </w:t>
      </w:r>
      <w:r>
        <w:t>following the applicable rules and duly enforcing their observance by the accredited conformity assessment bodies, by operating a peer evaluation system founded on solid and transparent criteria and procedures and managing the related Multilateral Agreemen</w:t>
      </w:r>
      <w:r>
        <w:t xml:space="preserve">t (MLA). </w:t>
      </w:r>
    </w:p>
    <w:p w:rsidR="00205EAE" w:rsidRDefault="005D4C9C">
      <w:pPr>
        <w:spacing w:after="0" w:line="259" w:lineRule="auto"/>
        <w:ind w:left="0" w:right="0" w:firstLine="0"/>
        <w:jc w:val="left"/>
      </w:pPr>
      <w:r>
        <w:t xml:space="preserve"> </w:t>
      </w:r>
    </w:p>
    <w:p w:rsidR="00205EAE" w:rsidRDefault="005D4C9C">
      <w:pPr>
        <w:numPr>
          <w:ilvl w:val="0"/>
          <w:numId w:val="4"/>
        </w:numPr>
        <w:ind w:right="0" w:hanging="427"/>
        <w:jc w:val="left"/>
      </w:pPr>
      <w:r>
        <w:t xml:space="preserve">Accreditations issued under the EA MLA pursuant to the provisions of Regulation (EC) </w:t>
      </w:r>
    </w:p>
    <w:p w:rsidR="00205EAE" w:rsidRDefault="005D4C9C">
      <w:pPr>
        <w:ind w:left="437" w:right="700"/>
      </w:pPr>
      <w:r>
        <w:lastRenderedPageBreak/>
        <w:t xml:space="preserve">765/2008 – that establish, among others, a legal base and principle rules for </w:t>
      </w:r>
    </w:p>
    <w:p w:rsidR="00205EAE" w:rsidRDefault="005D4C9C">
      <w:pPr>
        <w:spacing w:after="1" w:line="241" w:lineRule="auto"/>
        <w:ind w:left="427" w:right="0" w:firstLine="0"/>
        <w:jc w:val="left"/>
      </w:pPr>
      <w:r>
        <w:t>accreditation, strengthen its use in the mandatory area and provide for the rec</w:t>
      </w:r>
      <w:r>
        <w:t xml:space="preserve">ognition of EA as the official European Accreditation Infrastructure –provide confidence in the effectiveness of conformity assessment services and in the reliability of the corresponding results, contributing to promote their recognitions and use in both </w:t>
      </w:r>
      <w:r>
        <w:t xml:space="preserve">voluntary and regulated areas. </w:t>
      </w:r>
    </w:p>
    <w:p w:rsidR="00205EAE" w:rsidRDefault="005D4C9C">
      <w:pPr>
        <w:spacing w:after="0" w:line="259" w:lineRule="auto"/>
        <w:ind w:left="0" w:right="0" w:firstLine="0"/>
        <w:jc w:val="left"/>
      </w:pPr>
      <w:r>
        <w:t xml:space="preserve"> </w:t>
      </w:r>
    </w:p>
    <w:p w:rsidR="00205EAE" w:rsidRDefault="005D4C9C">
      <w:pPr>
        <w:numPr>
          <w:ilvl w:val="0"/>
          <w:numId w:val="4"/>
        </w:numPr>
        <w:spacing w:after="4" w:line="250" w:lineRule="auto"/>
        <w:ind w:right="0" w:hanging="427"/>
        <w:jc w:val="left"/>
      </w:pPr>
      <w:r>
        <w:t xml:space="preserve">The Stakeholder </w:t>
      </w:r>
      <w:r w:rsidR="00522F89">
        <w:t xml:space="preserve">BRC Global Standards </w:t>
      </w:r>
      <w:r w:rsidRPr="002E5E96">
        <w:t xml:space="preserve">relies upon the use of accreditation </w:t>
      </w:r>
      <w:r w:rsidR="002E5E96" w:rsidRPr="002E5E96">
        <w:t>for its suite of Standards and works closely with the sharing of data across Certification Bodies and accreditation Bodies</w:t>
      </w:r>
      <w:r w:rsidRPr="002E5E96">
        <w:t xml:space="preserve"> and may provide a</w:t>
      </w:r>
      <w:r>
        <w:t xml:space="preserve"> significant contribution to the bes</w:t>
      </w:r>
      <w:r>
        <w:t xml:space="preserve">t development of the accreditation rules and practices. </w:t>
      </w:r>
    </w:p>
    <w:p w:rsidR="00205EAE" w:rsidRDefault="005D4C9C">
      <w:pPr>
        <w:spacing w:after="0" w:line="259" w:lineRule="auto"/>
        <w:ind w:left="0" w:right="0" w:firstLine="0"/>
        <w:jc w:val="left"/>
      </w:pPr>
      <w:r>
        <w:t xml:space="preserve"> </w:t>
      </w:r>
    </w:p>
    <w:p w:rsidR="00205EAE" w:rsidRDefault="005D4C9C">
      <w:pPr>
        <w:numPr>
          <w:ilvl w:val="0"/>
          <w:numId w:val="4"/>
        </w:numPr>
        <w:ind w:right="0" w:hanging="427"/>
        <w:jc w:val="left"/>
      </w:pPr>
      <w:r>
        <w:t xml:space="preserve">A recognised cooperation between the Parties will be beneficial to both organizations and to the respective members and stakeholders.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21" w:right="5"/>
        <w:jc w:val="center"/>
      </w:pPr>
      <w:r>
        <w:t>All the above being stated, the Parties have reached the f</w:t>
      </w:r>
      <w:r>
        <w:t xml:space="preserve">ollowing agreement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numPr>
          <w:ilvl w:val="0"/>
          <w:numId w:val="4"/>
        </w:numPr>
        <w:ind w:right="0" w:hanging="427"/>
        <w:jc w:val="left"/>
      </w:pPr>
      <w:r>
        <w:t xml:space="preserve">The stakeholder organization will be recognised by EA as a Recognized Stakeholder.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A representative of the Recognized Stakeholder will be invited to attend meetings of the EA General Assembly (with no voting rights and except for</w:t>
      </w:r>
      <w:r>
        <w:t xml:space="preserve"> parts restricted to EA Members).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 xml:space="preserve">Representatives of the Recognized Stakeholder will be entitled to participate in the work of Technical Committees, Working Groups and Task Forces of EA (excluding the fora institutionally reserved to particular member categories, for example, the meetings </w:t>
      </w:r>
      <w:r>
        <w:t xml:space="preserve">of the EA MLA Council).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EA will make available to the Recognized Stakeholder the relevant policy and technical documents and will grant appropriate level of access to the EA Intranet. The Recognized Stakeholder will have the opportunity to contribute t</w:t>
      </w:r>
      <w:r>
        <w:t xml:space="preserve">o the development of such documentation, providing inputs and comments, although not being entitled to vote on their approval. </w:t>
      </w:r>
    </w:p>
    <w:p w:rsidR="00205EAE" w:rsidRDefault="005D4C9C">
      <w:pPr>
        <w:spacing w:after="0" w:line="259" w:lineRule="auto"/>
        <w:ind w:left="0" w:right="0" w:firstLine="0"/>
        <w:jc w:val="left"/>
      </w:pPr>
      <w:r>
        <w:t xml:space="preserve"> </w:t>
      </w:r>
    </w:p>
    <w:p w:rsidR="00205EAE" w:rsidRDefault="005D4C9C">
      <w:pPr>
        <w:numPr>
          <w:ilvl w:val="0"/>
          <w:numId w:val="4"/>
        </w:numPr>
        <w:ind w:right="0" w:hanging="427"/>
        <w:jc w:val="left"/>
      </w:pPr>
      <w:r>
        <w:t>The Recognized Stakeholder will regularly inform EA on the development of those of its activities that are related to those of</w:t>
      </w:r>
      <w:r>
        <w:t xml:space="preserve"> EA.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The Recognised Stakeholder will provide financial compensation for costs incurred by EA or EA AB members, such as paying registration fees for participation to the EA Genera</w:t>
      </w:r>
      <w:r w:rsidR="00C83BE0">
        <w:t>l Assemblies and other meetings</w:t>
      </w:r>
      <w:r>
        <w:t xml:space="preserve">.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t>EA and the Recognised Stakeholder may arrange joint cultural/educational initiatives, such as conferences, seminars, workshops, training courses and other pertinent activities. The practical modalities and the financial aspects of such collaboration will b</w:t>
      </w:r>
      <w:r>
        <w:t xml:space="preserve">e subject to separate specific agreements. </w:t>
      </w:r>
    </w:p>
    <w:p w:rsidR="00205EAE" w:rsidRDefault="005D4C9C">
      <w:pPr>
        <w:spacing w:after="0" w:line="259" w:lineRule="auto"/>
        <w:ind w:left="0" w:right="0" w:firstLine="0"/>
        <w:jc w:val="left"/>
      </w:pPr>
      <w:r>
        <w:t xml:space="preserve"> </w:t>
      </w:r>
    </w:p>
    <w:p w:rsidR="00205EAE" w:rsidRDefault="005D4C9C">
      <w:pPr>
        <w:numPr>
          <w:ilvl w:val="0"/>
          <w:numId w:val="4"/>
        </w:numPr>
        <w:ind w:right="0" w:hanging="427"/>
        <w:jc w:val="left"/>
      </w:pPr>
      <w:r>
        <w:t xml:space="preserve">In the frame of this </w:t>
      </w:r>
      <w:r w:rsidR="00C83BE0">
        <w:rPr>
          <w:i/>
        </w:rPr>
        <w:t>Agreement</w:t>
      </w:r>
      <w:r>
        <w:t xml:space="preserve">, the Parties will provide each other with the details of one or more contact persons. </w:t>
      </w:r>
    </w:p>
    <w:p w:rsidR="00205EAE" w:rsidRDefault="005D4C9C">
      <w:pPr>
        <w:spacing w:after="0" w:line="259" w:lineRule="auto"/>
        <w:ind w:left="0" w:right="0" w:firstLine="0"/>
        <w:jc w:val="left"/>
      </w:pPr>
      <w:r>
        <w:t xml:space="preserve"> </w:t>
      </w:r>
    </w:p>
    <w:p w:rsidR="00205EAE" w:rsidRDefault="005D4C9C">
      <w:pPr>
        <w:numPr>
          <w:ilvl w:val="0"/>
          <w:numId w:val="4"/>
        </w:numPr>
        <w:spacing w:after="1" w:line="241" w:lineRule="auto"/>
        <w:ind w:right="0" w:hanging="427"/>
        <w:jc w:val="left"/>
      </w:pPr>
      <w:r>
        <w:lastRenderedPageBreak/>
        <w:t>The Parties will observe confidentially regarding information mutually exchanged and iden</w:t>
      </w:r>
      <w:r>
        <w:t xml:space="preserve">tified as confidential. Breach of confidentiality may lead to the termination of this </w:t>
      </w:r>
      <w:r>
        <w:rPr>
          <w:i/>
        </w:rPr>
        <w:t>Agreement</w:t>
      </w:r>
      <w:r>
        <w:t xml:space="preserve">. </w:t>
      </w:r>
    </w:p>
    <w:p w:rsidR="00205EAE" w:rsidRDefault="005D4C9C">
      <w:pPr>
        <w:spacing w:after="0" w:line="259" w:lineRule="auto"/>
        <w:ind w:left="0" w:right="0" w:firstLine="0"/>
        <w:jc w:val="left"/>
      </w:pPr>
      <w:r>
        <w:t xml:space="preserve"> </w:t>
      </w:r>
    </w:p>
    <w:p w:rsidR="00205EAE" w:rsidRDefault="005D4C9C">
      <w:pPr>
        <w:ind w:left="10" w:right="700"/>
      </w:pPr>
      <w:r>
        <w:t xml:space="preserve">This </w:t>
      </w:r>
      <w:r>
        <w:rPr>
          <w:i/>
        </w:rPr>
        <w:t>Agreement</w:t>
      </w:r>
      <w:r>
        <w:t xml:space="preserve"> shall enter into force upon signature by both Parties. </w:t>
      </w:r>
    </w:p>
    <w:p w:rsidR="00205EAE" w:rsidRDefault="005D4C9C">
      <w:pPr>
        <w:spacing w:after="0" w:line="259" w:lineRule="auto"/>
        <w:ind w:left="0" w:right="0" w:firstLine="0"/>
        <w:jc w:val="left"/>
      </w:pPr>
      <w:r>
        <w:t xml:space="preserve"> </w:t>
      </w:r>
    </w:p>
    <w:p w:rsidR="00205EAE" w:rsidRDefault="005D4C9C">
      <w:pPr>
        <w:spacing w:after="1" w:line="241" w:lineRule="auto"/>
        <w:ind w:left="-15" w:right="0" w:firstLine="0"/>
        <w:jc w:val="left"/>
      </w:pPr>
      <w:r>
        <w:t xml:space="preserve">The </w:t>
      </w:r>
      <w:r>
        <w:rPr>
          <w:i/>
        </w:rPr>
        <w:t>Agreement</w:t>
      </w:r>
      <w:r>
        <w:t xml:space="preserve"> is concluded for an indefinite period of time and will be formally re</w:t>
      </w:r>
      <w:r>
        <w:t>viewed every five</w:t>
      </w:r>
      <w:r w:rsidR="00C83BE0">
        <w:t xml:space="preserve"> </w:t>
      </w:r>
      <w:r>
        <w:t xml:space="preserve">years after its signature and amended, as far as necessary and applicable, including possible development into stricter forms of cooperation or termination. The </w:t>
      </w:r>
      <w:r>
        <w:rPr>
          <w:i/>
        </w:rPr>
        <w:t>Agreement</w:t>
      </w:r>
      <w:r>
        <w:t xml:space="preserve"> may, however, be terminated at any time by any one of the Parties, a</w:t>
      </w:r>
      <w:r>
        <w:t xml:space="preserve">fter due notification to the other Party.  </w:t>
      </w:r>
    </w:p>
    <w:p w:rsidR="00205EAE" w:rsidRDefault="005D4C9C">
      <w:pPr>
        <w:spacing w:after="0" w:line="259" w:lineRule="auto"/>
        <w:ind w:left="0" w:right="0" w:firstLine="0"/>
        <w:jc w:val="left"/>
      </w:pPr>
      <w:r>
        <w:t xml:space="preserve"> </w:t>
      </w:r>
    </w:p>
    <w:p w:rsidR="00205EAE" w:rsidRDefault="005D4C9C">
      <w:pPr>
        <w:ind w:left="10" w:right="0"/>
      </w:pPr>
      <w:r>
        <w:t xml:space="preserve">In witness whereof, the undersigned, being duly authorized by the respective organizations, have signed this </w:t>
      </w:r>
      <w:r>
        <w:rPr>
          <w:i/>
        </w:rPr>
        <w:t>Agreement</w:t>
      </w:r>
      <w:r>
        <w:t xml:space="preserve">. </w:t>
      </w:r>
    </w:p>
    <w:p w:rsidR="00205EAE" w:rsidRDefault="005D4C9C">
      <w:pPr>
        <w:spacing w:after="0" w:line="259" w:lineRule="auto"/>
        <w:ind w:left="0" w:right="0" w:firstLine="0"/>
        <w:jc w:val="left"/>
      </w:pPr>
      <w:r>
        <w:t xml:space="preserve"> </w:t>
      </w:r>
    </w:p>
    <w:p w:rsidR="00205EAE" w:rsidRDefault="005D4C9C">
      <w:pPr>
        <w:spacing w:after="7" w:line="259" w:lineRule="auto"/>
        <w:ind w:left="0" w:right="0" w:firstLine="0"/>
        <w:jc w:val="left"/>
      </w:pPr>
      <w:r>
        <w:t xml:space="preserve"> </w:t>
      </w:r>
    </w:p>
    <w:p w:rsidR="00205EAE" w:rsidRDefault="00C83BE0">
      <w:pPr>
        <w:spacing w:after="0" w:line="259" w:lineRule="auto"/>
        <w:ind w:left="21" w:right="0"/>
        <w:jc w:val="center"/>
      </w:pPr>
      <w:r>
        <w:t xml:space="preserve">Done </w:t>
      </w:r>
      <w:r w:rsidR="005D4C9C">
        <w:t xml:space="preserve">in duplicate, on </w:t>
      </w:r>
      <w:r>
        <w:t>20</w:t>
      </w:r>
      <w:r w:rsidRPr="00C83BE0">
        <w:rPr>
          <w:vertAlign w:val="superscript"/>
        </w:rPr>
        <w:t>th</w:t>
      </w:r>
      <w:r>
        <w:t xml:space="preserve"> June 2018,</w:t>
      </w:r>
      <w:r w:rsidR="005D4C9C">
        <w:t xml:space="preserve"> in the English language.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9" w:line="250" w:lineRule="auto"/>
        <w:ind w:left="10" w:right="75"/>
        <w:jc w:val="left"/>
      </w:pPr>
      <w:r>
        <w:t xml:space="preserve"> </w:t>
      </w:r>
      <w:r>
        <w:tab/>
        <w:t xml:space="preserve"> </w:t>
      </w:r>
      <w:r>
        <w:tab/>
        <w:t xml:space="preserve"> </w:t>
      </w:r>
      <w:r>
        <w:tab/>
      </w:r>
      <w:r>
        <w:rPr>
          <w:b/>
        </w:rPr>
        <w:t xml:space="preserve">For EA </w:t>
      </w:r>
      <w:r>
        <w:rPr>
          <w:b/>
        </w:rPr>
        <w:tab/>
        <w:t xml:space="preserve"> </w:t>
      </w:r>
      <w:r>
        <w:rPr>
          <w:b/>
        </w:rPr>
        <w:tab/>
        <w:t xml:space="preserve"> </w:t>
      </w:r>
      <w:r>
        <w:rPr>
          <w:b/>
        </w:rPr>
        <w:tab/>
        <w:t xml:space="preserve"> </w:t>
      </w:r>
      <w:r>
        <w:rPr>
          <w:b/>
        </w:rPr>
        <w:tab/>
        <w:t xml:space="preserve">   </w:t>
      </w:r>
      <w:r>
        <w:t xml:space="preserve"> </w:t>
      </w:r>
      <w:r>
        <w:tab/>
      </w:r>
      <w:r>
        <w:rPr>
          <w:b/>
        </w:rPr>
        <w:t xml:space="preserve">For the Stakeholder Organisation </w:t>
      </w:r>
    </w:p>
    <w:p w:rsidR="00205EAE" w:rsidRDefault="005D4C9C">
      <w:pPr>
        <w:tabs>
          <w:tab w:val="center" w:pos="4957"/>
          <w:tab w:val="center" w:pos="7235"/>
        </w:tabs>
        <w:ind w:left="0" w:right="0" w:firstLine="0"/>
        <w:jc w:val="left"/>
      </w:pPr>
      <w:r>
        <w:t xml:space="preserve">The European co-operation for Accreditation </w:t>
      </w:r>
      <w:r>
        <w:tab/>
        <w:t xml:space="preserve"> </w:t>
      </w:r>
      <w:r>
        <w:tab/>
        <w:t xml:space="preserve">……………………………………. </w:t>
      </w:r>
    </w:p>
    <w:p w:rsidR="00C83BE0" w:rsidRDefault="00C83BE0">
      <w:pPr>
        <w:tabs>
          <w:tab w:val="center" w:pos="4957"/>
          <w:tab w:val="center" w:pos="7235"/>
        </w:tabs>
        <w:ind w:left="0" w:right="0" w:firstLine="0"/>
        <w:jc w:val="left"/>
      </w:pPr>
    </w:p>
    <w:p w:rsidR="00C83BE0" w:rsidRDefault="00C83BE0">
      <w:pPr>
        <w:tabs>
          <w:tab w:val="center" w:pos="4957"/>
          <w:tab w:val="center" w:pos="7235"/>
        </w:tabs>
        <w:ind w:left="0" w:right="0" w:firstLine="0"/>
        <w:jc w:val="left"/>
      </w:pPr>
      <w:r>
        <w:tab/>
      </w:r>
      <w:r>
        <w:tab/>
        <w:t>Karen Betts</w:t>
      </w:r>
    </w:p>
    <w:p w:rsidR="00C83BE0" w:rsidRDefault="00C83BE0">
      <w:pPr>
        <w:tabs>
          <w:tab w:val="center" w:pos="4957"/>
          <w:tab w:val="center" w:pos="7235"/>
        </w:tabs>
        <w:ind w:left="0" w:right="0" w:firstLine="0"/>
        <w:jc w:val="left"/>
      </w:pPr>
      <w:r>
        <w:tab/>
      </w:r>
      <w:r>
        <w:tab/>
        <w:t>Head of Compliance</w:t>
      </w:r>
    </w:p>
    <w:p w:rsidR="00C83BE0" w:rsidRDefault="00C83BE0">
      <w:pPr>
        <w:tabs>
          <w:tab w:val="center" w:pos="4957"/>
          <w:tab w:val="center" w:pos="7235"/>
        </w:tabs>
        <w:ind w:left="0" w:right="0" w:firstLine="0"/>
        <w:jc w:val="left"/>
      </w:pPr>
      <w:r>
        <w:tab/>
      </w:r>
      <w:r>
        <w:tab/>
        <w:t>BRC Global Standards</w:t>
      </w:r>
    </w:p>
    <w:p w:rsidR="00C83BE0" w:rsidRDefault="00C83BE0">
      <w:pPr>
        <w:tabs>
          <w:tab w:val="center" w:pos="4957"/>
          <w:tab w:val="center" w:pos="7235"/>
        </w:tabs>
        <w:ind w:left="0" w:right="0" w:firstLine="0"/>
        <w:jc w:val="left"/>
      </w:pPr>
      <w:r>
        <w:tab/>
      </w:r>
      <w:r>
        <w:tab/>
        <w:t>Karen.betts@brcglobalstandards.com</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tabs>
          <w:tab w:val="center" w:pos="1529"/>
          <w:tab w:val="center" w:pos="2833"/>
          <w:tab w:val="center" w:pos="3541"/>
          <w:tab w:val="center" w:pos="4249"/>
          <w:tab w:val="center" w:pos="6797"/>
        </w:tabs>
        <w:spacing w:after="4" w:line="250" w:lineRule="auto"/>
        <w:ind w:left="0" w:right="0" w:firstLine="0"/>
        <w:jc w:val="left"/>
      </w:pPr>
      <w:r>
        <w:t xml:space="preserve"> </w:t>
      </w:r>
      <w:r>
        <w:tab/>
        <w:t xml:space="preserve">    The Chairman </w:t>
      </w:r>
      <w:r>
        <w:tab/>
        <w:t xml:space="preserve"> </w:t>
      </w:r>
      <w:r>
        <w:tab/>
        <w:t xml:space="preserve"> </w:t>
      </w:r>
      <w:r>
        <w:tab/>
        <w:t xml:space="preserve"> </w:t>
      </w:r>
      <w:r>
        <w:tab/>
        <w:t xml:space="preserve">                   </w:t>
      </w:r>
      <w:r>
        <w:rPr>
          <w:i/>
        </w:rPr>
        <w:t>The Legal Representative</w:t>
      </w: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0" w:right="0" w:firstLine="0"/>
        <w:jc w:val="left"/>
      </w:pPr>
      <w:r>
        <w:t xml:space="preserve"> </w:t>
      </w:r>
    </w:p>
    <w:p w:rsidR="00205EAE" w:rsidRDefault="005D4C9C">
      <w:pPr>
        <w:spacing w:after="0" w:line="259" w:lineRule="auto"/>
        <w:ind w:left="1133" w:right="0" w:firstLine="0"/>
        <w:jc w:val="left"/>
      </w:pPr>
      <w:r>
        <w:t xml:space="preserve"> </w:t>
      </w:r>
    </w:p>
    <w:sectPr w:rsidR="00205EAE">
      <w:headerReference w:type="even" r:id="rId9"/>
      <w:headerReference w:type="default" r:id="rId10"/>
      <w:footerReference w:type="even" r:id="rId11"/>
      <w:footerReference w:type="default" r:id="rId12"/>
      <w:headerReference w:type="first" r:id="rId13"/>
      <w:footerReference w:type="first" r:id="rId14"/>
      <w:pgSz w:w="11906" w:h="16838"/>
      <w:pgMar w:top="1423" w:right="1428" w:bottom="1617" w:left="1416" w:header="573" w:footer="5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D4C9C">
      <w:pPr>
        <w:spacing w:after="0" w:line="240" w:lineRule="auto"/>
      </w:pPr>
      <w:r>
        <w:separator/>
      </w:r>
    </w:p>
  </w:endnote>
  <w:endnote w:type="continuationSeparator" w:id="0">
    <w:p w:rsidR="00000000" w:rsidRDefault="005D4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EAE" w:rsidRDefault="005D4C9C">
    <w:pPr>
      <w:tabs>
        <w:tab w:val="center" w:pos="4537"/>
        <w:tab w:val="center" w:pos="7381"/>
        <w:tab w:val="right" w:pos="9062"/>
      </w:tabs>
      <w:spacing w:after="0" w:line="259" w:lineRule="auto"/>
      <w:ind w:left="0" w:right="-9" w:firstLine="0"/>
      <w:jc w:val="left"/>
    </w:pPr>
    <w:r>
      <w:rPr>
        <w:sz w:val="20"/>
      </w:rPr>
      <w:t xml:space="preserve">August 2014_rev01 </w:t>
    </w:r>
    <w:r>
      <w:rPr>
        <w:sz w:val="20"/>
      </w:rPr>
      <w:tab/>
      <w:t xml:space="preserve"> </w:t>
    </w:r>
    <w:r>
      <w:rPr>
        <w:sz w:val="20"/>
      </w:rPr>
      <w:tab/>
      <w:t xml:space="preserve"> </w:t>
    </w:r>
    <w:r>
      <w:rPr>
        <w:sz w:val="20"/>
      </w:rPr>
      <w:tab/>
      <w:t xml:space="preserve">Page </w:t>
    </w:r>
    <w:r>
      <w:fldChar w:fldCharType="begin"/>
    </w:r>
    <w:r>
      <w:instrText xml:space="preserve"> PAGE   \* MERGEFORMAT </w:instrText>
    </w:r>
    <w:r>
      <w:fldChar w:fldCharType="separate"/>
    </w:r>
    <w:r>
      <w:rPr>
        <w:sz w:val="20"/>
      </w:rPr>
      <w:t>10</w:t>
    </w:r>
    <w:r>
      <w:rPr>
        <w:sz w:val="20"/>
      </w:rPr>
      <w:fldChar w:fldCharType="end"/>
    </w:r>
    <w:r>
      <w:rPr>
        <w:sz w:val="20"/>
      </w:rPr>
      <w:t xml:space="preserve"> of </w:t>
    </w:r>
    <w:r>
      <w:fldChar w:fldCharType="begin"/>
    </w:r>
    <w:r>
      <w:instrText xml:space="preserve"> NUMPAGES   \* MERGEFORMAT </w:instrText>
    </w:r>
    <w:r>
      <w:fldChar w:fldCharType="separate"/>
    </w:r>
    <w:r w:rsidRPr="005D4C9C">
      <w:rPr>
        <w:noProof/>
        <w:sz w:val="20"/>
      </w:rPr>
      <w:t>2</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EAE" w:rsidRDefault="005D4C9C">
    <w:pPr>
      <w:tabs>
        <w:tab w:val="center" w:pos="4537"/>
        <w:tab w:val="center" w:pos="7381"/>
        <w:tab w:val="right" w:pos="9062"/>
      </w:tabs>
      <w:spacing w:after="0" w:line="259" w:lineRule="auto"/>
      <w:ind w:left="0" w:right="-9" w:firstLine="0"/>
      <w:jc w:val="left"/>
    </w:pPr>
    <w:r>
      <w:rPr>
        <w:sz w:val="20"/>
      </w:rPr>
      <w:t>August 2014_rev0</w:t>
    </w:r>
    <w:r>
      <w:rPr>
        <w:sz w:val="20"/>
      </w:rPr>
      <w:t xml:space="preserve">1 </w:t>
    </w:r>
    <w:r>
      <w:rPr>
        <w:sz w:val="20"/>
      </w:rPr>
      <w:tab/>
      <w:t xml:space="preserve"> </w:t>
    </w:r>
    <w:r>
      <w:rPr>
        <w:sz w:val="20"/>
      </w:rPr>
      <w:tab/>
      <w:t xml:space="preserve"> </w:t>
    </w:r>
    <w:r>
      <w:rPr>
        <w:sz w:val="20"/>
      </w:rPr>
      <w:tab/>
      <w:t xml:space="preserve">Page </w:t>
    </w:r>
    <w:r>
      <w:fldChar w:fldCharType="begin"/>
    </w:r>
    <w:r>
      <w:instrText xml:space="preserve"> PAGE   \* MERGEFORMAT </w:instrText>
    </w:r>
    <w:r>
      <w:fldChar w:fldCharType="separate"/>
    </w:r>
    <w:r w:rsidRPr="005D4C9C">
      <w:rPr>
        <w:noProof/>
        <w:sz w:val="20"/>
      </w:rPr>
      <w:t>2</w:t>
    </w:r>
    <w:r>
      <w:rPr>
        <w:sz w:val="20"/>
      </w:rPr>
      <w:fldChar w:fldCharType="end"/>
    </w:r>
    <w:r>
      <w:rPr>
        <w:sz w:val="20"/>
      </w:rPr>
      <w:t xml:space="preserve"> of </w:t>
    </w:r>
    <w:r>
      <w:fldChar w:fldCharType="begin"/>
    </w:r>
    <w:r>
      <w:instrText xml:space="preserve"> NUMPAGES   \* MERGEFORMAT </w:instrText>
    </w:r>
    <w:r>
      <w:fldChar w:fldCharType="separate"/>
    </w:r>
    <w:r w:rsidRPr="005D4C9C">
      <w:rPr>
        <w:noProof/>
        <w:sz w:val="20"/>
      </w:rPr>
      <w:t>3</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EAE" w:rsidRDefault="005D4C9C">
    <w:pPr>
      <w:tabs>
        <w:tab w:val="center" w:pos="4537"/>
        <w:tab w:val="center" w:pos="7381"/>
        <w:tab w:val="right" w:pos="9062"/>
      </w:tabs>
      <w:spacing w:after="0" w:line="259" w:lineRule="auto"/>
      <w:ind w:left="0" w:right="-9" w:firstLine="0"/>
      <w:jc w:val="left"/>
    </w:pPr>
    <w:r>
      <w:rPr>
        <w:sz w:val="20"/>
      </w:rPr>
      <w:t xml:space="preserve">August 2014_rev01 </w:t>
    </w:r>
    <w:r>
      <w:rPr>
        <w:sz w:val="20"/>
      </w:rPr>
      <w:tab/>
      <w:t xml:space="preserve"> </w:t>
    </w:r>
    <w:r>
      <w:rPr>
        <w:sz w:val="20"/>
      </w:rPr>
      <w:tab/>
      <w:t xml:space="preserve"> </w:t>
    </w:r>
    <w:r>
      <w:rPr>
        <w:sz w:val="20"/>
      </w:rPr>
      <w:tab/>
      <w:t xml:space="preserve">Page </w:t>
    </w:r>
    <w:r>
      <w:fldChar w:fldCharType="begin"/>
    </w:r>
    <w:r>
      <w:instrText xml:space="preserve"> PAGE   \* MERGEFORMAT </w:instrText>
    </w:r>
    <w:r>
      <w:fldChar w:fldCharType="separate"/>
    </w:r>
    <w:r>
      <w:rPr>
        <w:sz w:val="20"/>
      </w:rPr>
      <w:t>10</w:t>
    </w:r>
    <w:r>
      <w:rPr>
        <w:sz w:val="20"/>
      </w:rPr>
      <w:fldChar w:fldCharType="end"/>
    </w:r>
    <w:r>
      <w:rPr>
        <w:sz w:val="20"/>
      </w:rPr>
      <w:t xml:space="preserve"> of </w:t>
    </w:r>
    <w:r>
      <w:fldChar w:fldCharType="begin"/>
    </w:r>
    <w:r>
      <w:instrText xml:space="preserve"> NUMPAGES   \* MERGEFORMAT </w:instrText>
    </w:r>
    <w:r>
      <w:fldChar w:fldCharType="separate"/>
    </w:r>
    <w:r w:rsidRPr="005D4C9C">
      <w:rPr>
        <w:noProof/>
        <w:sz w:val="20"/>
      </w:rPr>
      <w:t>2</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D4C9C">
      <w:pPr>
        <w:spacing w:after="0" w:line="240" w:lineRule="auto"/>
      </w:pPr>
      <w:r>
        <w:separator/>
      </w:r>
    </w:p>
  </w:footnote>
  <w:footnote w:type="continuationSeparator" w:id="0">
    <w:p w:rsidR="00000000" w:rsidRDefault="005D4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EAE" w:rsidRDefault="005D4C9C">
    <w:pPr>
      <w:spacing w:after="0" w:line="259" w:lineRule="auto"/>
      <w:ind w:left="1" w:right="0" w:firstLine="0"/>
      <w:jc w:val="center"/>
    </w:pPr>
    <w:r>
      <w:rPr>
        <w:i/>
        <w:sz w:val="20"/>
      </w:rPr>
      <w:t xml:space="preserve">EA-1/15 </w:t>
    </w:r>
    <w:r>
      <w:rPr>
        <w:rFonts w:ascii="Wingdings 2" w:eastAsia="Wingdings 2" w:hAnsi="Wingdings 2" w:cs="Wingdings 2"/>
        <w:sz w:val="21"/>
      </w:rPr>
      <w:t></w:t>
    </w:r>
    <w:r>
      <w:rPr>
        <w:i/>
        <w:sz w:val="20"/>
      </w:rPr>
      <w:t xml:space="preserve"> </w:t>
    </w:r>
    <w:r>
      <w:rPr>
        <w:i/>
        <w:sz w:val="20"/>
      </w:rPr>
      <w:t xml:space="preserve">EA Policy for Relation with Stakeholders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EAE" w:rsidRDefault="005D4C9C">
    <w:pPr>
      <w:spacing w:after="0" w:line="259" w:lineRule="auto"/>
      <w:ind w:left="1" w:right="0" w:firstLine="0"/>
      <w:jc w:val="center"/>
    </w:pPr>
    <w:r>
      <w:rPr>
        <w:i/>
        <w:sz w:val="20"/>
      </w:rPr>
      <w:t xml:space="preserve">EA-1/15 </w:t>
    </w:r>
    <w:r>
      <w:rPr>
        <w:rFonts w:ascii="Wingdings 2" w:eastAsia="Wingdings 2" w:hAnsi="Wingdings 2" w:cs="Wingdings 2"/>
        <w:sz w:val="21"/>
      </w:rPr>
      <w:t></w:t>
    </w:r>
    <w:r>
      <w:rPr>
        <w:i/>
        <w:sz w:val="20"/>
      </w:rPr>
      <w:t xml:space="preserve"> EA Policy for Relation with Stakeholders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5EAE" w:rsidRDefault="005D4C9C">
    <w:pPr>
      <w:spacing w:after="0" w:line="259" w:lineRule="auto"/>
      <w:ind w:left="1" w:right="0" w:firstLine="0"/>
      <w:jc w:val="center"/>
    </w:pPr>
    <w:r>
      <w:rPr>
        <w:i/>
        <w:sz w:val="20"/>
      </w:rPr>
      <w:t xml:space="preserve">EA-1/15 </w:t>
    </w:r>
    <w:r>
      <w:rPr>
        <w:rFonts w:ascii="Wingdings 2" w:eastAsia="Wingdings 2" w:hAnsi="Wingdings 2" w:cs="Wingdings 2"/>
        <w:sz w:val="21"/>
      </w:rPr>
      <w:t></w:t>
    </w:r>
    <w:r>
      <w:rPr>
        <w:i/>
        <w:sz w:val="20"/>
      </w:rPr>
      <w:t xml:space="preserve"> EA Policy for Relation with Stakeholders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06B6"/>
    <w:multiLevelType w:val="multilevel"/>
    <w:tmpl w:val="3EBABE7C"/>
    <w:lvl w:ilvl="0">
      <w:start w:val="1"/>
      <w:numFmt w:val="decimal"/>
      <w:pStyle w:val="Heading1"/>
      <w:lvlText w:val="%1."/>
      <w:lvlJc w:val="left"/>
      <w:pPr>
        <w:ind w:left="0"/>
      </w:pPr>
      <w:rPr>
        <w:rFonts w:ascii="Arial" w:eastAsia="Arial" w:hAnsi="Arial" w:cs="Arial"/>
        <w:b/>
        <w:bCs/>
        <w:i/>
        <w:iCs/>
        <w:strike w:val="0"/>
        <w:dstrike w:val="0"/>
        <w:color w:val="000000"/>
        <w:sz w:val="24"/>
        <w:szCs w:val="24"/>
        <w:u w:val="none" w:color="000000"/>
        <w:bdr w:val="none" w:sz="0" w:space="0" w:color="auto"/>
        <w:shd w:val="clear" w:color="auto" w:fill="auto"/>
        <w:vertAlign w:val="baseline"/>
      </w:rPr>
    </w:lvl>
    <w:lvl w:ilvl="1">
      <w:start w:val="1"/>
      <w:numFmt w:val="decimal"/>
      <w:pStyle w:val="Heading2"/>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decimal"/>
      <w:pStyle w:val="Heading3"/>
      <w:lvlText w:val="%1.%2.%3"/>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84D076C"/>
    <w:multiLevelType w:val="hybridMultilevel"/>
    <w:tmpl w:val="CCDCCD50"/>
    <w:lvl w:ilvl="0" w:tplc="16E0CDFE">
      <w:start w:val="1"/>
      <w:numFmt w:val="lowerLetter"/>
      <w:lvlText w:val="%1)"/>
      <w:lvlJc w:val="left"/>
      <w:pPr>
        <w:ind w:left="2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6E143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2D4DFF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0E98F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F0F6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CE5F5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FBAD93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9484F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D66E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8513BA"/>
    <w:multiLevelType w:val="hybridMultilevel"/>
    <w:tmpl w:val="DC684486"/>
    <w:lvl w:ilvl="0" w:tplc="39B647D0">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08831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5C2CC0">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EA79F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F264C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6A55D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8E7AA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C6425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B0E4C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CB31448"/>
    <w:multiLevelType w:val="hybridMultilevel"/>
    <w:tmpl w:val="69705E74"/>
    <w:lvl w:ilvl="0" w:tplc="DDB037C4">
      <w:start w:val="1"/>
      <w:numFmt w:val="bullet"/>
      <w:lvlText w:val="-"/>
      <w:lvlJc w:val="left"/>
      <w:pPr>
        <w:ind w:left="2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54899E">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98C77C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9EDF6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4402C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2A3A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2CDDE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146F1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58C468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D9058C8"/>
    <w:multiLevelType w:val="hybridMultilevel"/>
    <w:tmpl w:val="8AC087B4"/>
    <w:lvl w:ilvl="0" w:tplc="6980D028">
      <w:start w:val="1"/>
      <w:numFmt w:val="bullet"/>
      <w:lvlText w:val="-"/>
      <w:lvlJc w:val="left"/>
      <w:pPr>
        <w:ind w:left="2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F4D0A4">
      <w:start w:val="1"/>
      <w:numFmt w:val="bullet"/>
      <w:lvlText w:val="o"/>
      <w:lvlJc w:val="left"/>
      <w:pPr>
        <w:ind w:left="1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862C88">
      <w:start w:val="1"/>
      <w:numFmt w:val="bullet"/>
      <w:lvlText w:val="▪"/>
      <w:lvlJc w:val="left"/>
      <w:pPr>
        <w:ind w:left="2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38CE566">
      <w:start w:val="1"/>
      <w:numFmt w:val="bullet"/>
      <w:lvlText w:val="•"/>
      <w:lvlJc w:val="left"/>
      <w:pPr>
        <w:ind w:left="3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A0EDF2">
      <w:start w:val="1"/>
      <w:numFmt w:val="bullet"/>
      <w:lvlText w:val="o"/>
      <w:lvlJc w:val="left"/>
      <w:pPr>
        <w:ind w:left="3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502D0C">
      <w:start w:val="1"/>
      <w:numFmt w:val="bullet"/>
      <w:lvlText w:val="▪"/>
      <w:lvlJc w:val="left"/>
      <w:pPr>
        <w:ind w:left="4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268A6A">
      <w:start w:val="1"/>
      <w:numFmt w:val="bullet"/>
      <w:lvlText w:val="•"/>
      <w:lvlJc w:val="left"/>
      <w:pPr>
        <w:ind w:left="5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B2E1A2">
      <w:start w:val="1"/>
      <w:numFmt w:val="bullet"/>
      <w:lvlText w:val="o"/>
      <w:lvlJc w:val="left"/>
      <w:pPr>
        <w:ind w:left="6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A82AB4">
      <w:start w:val="1"/>
      <w:numFmt w:val="bullet"/>
      <w:lvlText w:val="▪"/>
      <w:lvlJc w:val="left"/>
      <w:pPr>
        <w:ind w:left="6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EAE"/>
    <w:rsid w:val="00205EAE"/>
    <w:rsid w:val="002E5E96"/>
    <w:rsid w:val="00522F89"/>
    <w:rsid w:val="005240E4"/>
    <w:rsid w:val="005D4C9C"/>
    <w:rsid w:val="00C83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5D7E3"/>
  <w15:docId w15:val="{F662D86A-6673-49C1-A548-E2D055D5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9" w:lineRule="auto"/>
      <w:ind w:left="1143" w:right="281" w:hanging="10"/>
      <w:jc w:val="both"/>
    </w:pPr>
    <w:rPr>
      <w:rFonts w:ascii="Arial" w:eastAsia="Arial" w:hAnsi="Arial" w:cs="Arial"/>
      <w:color w:val="000000"/>
    </w:rPr>
  </w:style>
  <w:style w:type="paragraph" w:styleId="Heading1">
    <w:name w:val="heading 1"/>
    <w:next w:val="Normal"/>
    <w:link w:val="Heading1Char"/>
    <w:uiPriority w:val="9"/>
    <w:unhideWhenUsed/>
    <w:qFormat/>
    <w:pPr>
      <w:keepNext/>
      <w:keepLines/>
      <w:numPr>
        <w:numId w:val="5"/>
      </w:numPr>
      <w:spacing w:after="5" w:line="250" w:lineRule="auto"/>
      <w:ind w:left="1426" w:hanging="10"/>
      <w:outlineLvl w:val="0"/>
    </w:pPr>
    <w:rPr>
      <w:rFonts w:ascii="Arial" w:eastAsia="Arial" w:hAnsi="Arial" w:cs="Arial"/>
      <w:b/>
      <w:i/>
      <w:color w:val="000000"/>
      <w:sz w:val="24"/>
    </w:rPr>
  </w:style>
  <w:style w:type="paragraph" w:styleId="Heading2">
    <w:name w:val="heading 2"/>
    <w:next w:val="Normal"/>
    <w:link w:val="Heading2Char"/>
    <w:uiPriority w:val="9"/>
    <w:unhideWhenUsed/>
    <w:qFormat/>
    <w:pPr>
      <w:keepNext/>
      <w:keepLines/>
      <w:numPr>
        <w:ilvl w:val="1"/>
        <w:numId w:val="5"/>
      </w:numPr>
      <w:spacing w:after="0"/>
      <w:ind w:left="1426" w:hanging="10"/>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numPr>
        <w:ilvl w:val="2"/>
        <w:numId w:val="5"/>
      </w:numPr>
      <w:spacing w:after="9" w:line="250" w:lineRule="auto"/>
      <w:ind w:left="1426" w:hanging="10"/>
      <w:outlineLvl w:val="2"/>
    </w:pPr>
    <w:rPr>
      <w:rFonts w:ascii="Arial" w:eastAsia="Arial" w:hAnsi="Arial" w:cs="Arial"/>
      <w:b/>
      <w:color w:val="000000"/>
    </w:rPr>
  </w:style>
  <w:style w:type="paragraph" w:styleId="Heading4">
    <w:name w:val="heading 4"/>
    <w:next w:val="Normal"/>
    <w:link w:val="Heading4Char"/>
    <w:uiPriority w:val="9"/>
    <w:unhideWhenUsed/>
    <w:qFormat/>
    <w:pPr>
      <w:keepNext/>
      <w:keepLines/>
      <w:spacing w:after="9" w:line="250" w:lineRule="auto"/>
      <w:ind w:left="1426" w:hanging="10"/>
      <w:outlineLvl w:val="3"/>
    </w:pPr>
    <w:rPr>
      <w:rFonts w:ascii="Arial" w:eastAsia="Arial" w:hAnsi="Arial" w:cs="Arial"/>
      <w:b/>
      <w:color w:val="000000"/>
    </w:rPr>
  </w:style>
  <w:style w:type="paragraph" w:styleId="Heading5">
    <w:name w:val="heading 5"/>
    <w:next w:val="Normal"/>
    <w:link w:val="Heading5Char"/>
    <w:uiPriority w:val="9"/>
    <w:unhideWhenUsed/>
    <w:qFormat/>
    <w:pPr>
      <w:keepNext/>
      <w:keepLines/>
      <w:spacing w:after="9" w:line="250" w:lineRule="auto"/>
      <w:ind w:left="1426" w:hanging="10"/>
      <w:outlineLvl w:val="4"/>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5Char">
    <w:name w:val="Heading 5 Char"/>
    <w:link w:val="Heading5"/>
    <w:rPr>
      <w:rFonts w:ascii="Arial" w:eastAsia="Arial" w:hAnsi="Arial" w:cs="Arial"/>
      <w:b/>
      <w:color w:val="000000"/>
      <w:sz w:val="22"/>
    </w:rPr>
  </w:style>
  <w:style w:type="character" w:customStyle="1" w:styleId="Heading1Char">
    <w:name w:val="Heading 1 Char"/>
    <w:link w:val="Heading1"/>
    <w:rPr>
      <w:rFonts w:ascii="Arial" w:eastAsia="Arial" w:hAnsi="Arial" w:cs="Arial"/>
      <w:b/>
      <w:i/>
      <w:color w:val="000000"/>
      <w:sz w:val="24"/>
    </w:rPr>
  </w:style>
  <w:style w:type="character" w:customStyle="1" w:styleId="Heading3Char">
    <w:name w:val="Heading 3 Char"/>
    <w:link w:val="Heading3"/>
    <w:rPr>
      <w:rFonts w:ascii="Arial" w:eastAsia="Arial" w:hAnsi="Arial" w:cs="Arial"/>
      <w:b/>
      <w:color w:val="000000"/>
      <w:sz w:val="22"/>
    </w:rPr>
  </w:style>
  <w:style w:type="character" w:customStyle="1" w:styleId="Heading4Char">
    <w:name w:val="Heading 4 Char"/>
    <w:link w:val="Heading4"/>
    <w:rPr>
      <w:rFonts w:ascii="Arial" w:eastAsia="Arial" w:hAnsi="Arial" w:cs="Arial"/>
      <w:b/>
      <w:color w:val="000000"/>
      <w:sz w:val="22"/>
    </w:rPr>
  </w:style>
  <w:style w:type="paragraph" w:styleId="TOC1">
    <w:name w:val="toc 1"/>
    <w:hidden/>
    <w:pPr>
      <w:spacing w:after="103" w:line="250" w:lineRule="auto"/>
      <w:ind w:left="1441" w:right="15" w:hanging="10"/>
    </w:pPr>
    <w:rPr>
      <w:rFonts w:ascii="Arial" w:eastAsia="Arial" w:hAnsi="Arial" w:cs="Arial"/>
      <w:i/>
      <w:color w:val="000000"/>
    </w:rPr>
  </w:style>
  <w:style w:type="paragraph" w:styleId="TOC2">
    <w:name w:val="toc 2"/>
    <w:hidden/>
    <w:pPr>
      <w:spacing w:after="104" w:line="249" w:lineRule="auto"/>
      <w:ind w:left="1435" w:right="15" w:hanging="10"/>
      <w:jc w:val="both"/>
    </w:pPr>
    <w:rPr>
      <w:rFonts w:ascii="Arial" w:eastAsia="Arial" w:hAnsi="Arial" w:cs="Arial"/>
      <w:color w:val="000000"/>
    </w:rPr>
  </w:style>
  <w:style w:type="paragraph" w:styleId="TOC3">
    <w:name w:val="toc 3"/>
    <w:hidden/>
    <w:pPr>
      <w:spacing w:after="105" w:line="249" w:lineRule="auto"/>
      <w:ind w:left="1435" w:right="15" w:hanging="10"/>
      <w:jc w:val="both"/>
    </w:pPr>
    <w:rPr>
      <w:rFonts w:ascii="Arial" w:eastAsia="Arial" w:hAnsi="Arial" w:cs="Arial"/>
      <w:color w:val="000000"/>
    </w:rPr>
  </w:style>
  <w:style w:type="paragraph" w:styleId="TOC4">
    <w:name w:val="toc 4"/>
    <w:hidden/>
    <w:pPr>
      <w:spacing w:after="98"/>
      <w:ind w:left="1906" w:right="15" w:hanging="10"/>
      <w:jc w:val="right"/>
    </w:pPr>
    <w:rPr>
      <w:rFonts w:ascii="Arial" w:eastAsia="Arial" w:hAnsi="Arial" w:cs="Arial"/>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BZI</dc:creator>
  <cp:keywords/>
  <cp:lastModifiedBy>Karen Betts</cp:lastModifiedBy>
  <cp:revision>4</cp:revision>
  <dcterms:created xsi:type="dcterms:W3CDTF">2018-06-20T09:30:00Z</dcterms:created>
  <dcterms:modified xsi:type="dcterms:W3CDTF">2018-06-20T09:35:00Z</dcterms:modified>
</cp:coreProperties>
</file>